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健康药膳创新创业大赛参赛作品（食谱设计类）</w:t>
      </w:r>
      <w:r>
        <w:rPr>
          <w:rFonts w:hint="eastAsia" w:ascii="黑体" w:eastAsia="黑体"/>
          <w:sz w:val="32"/>
          <w:szCs w:val="32"/>
          <w:lang w:val="en-US" w:eastAsia="zh-CN"/>
        </w:rPr>
        <w:t>格式</w:t>
      </w:r>
      <w:r>
        <w:rPr>
          <w:rFonts w:hint="eastAsia" w:ascii="黑体" w:eastAsia="黑体"/>
          <w:sz w:val="32"/>
          <w:szCs w:val="32"/>
        </w:rPr>
        <w:t>规范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1</w:t>
      </w:r>
      <w:r>
        <w:rPr>
          <w:rFonts w:hint="eastAsia" w:eastAsia="仿宋_GB2312"/>
          <w:szCs w:val="28"/>
        </w:rPr>
        <w:t>．</w:t>
      </w:r>
      <w:r>
        <w:rPr>
          <w:rFonts w:hint="eastAsia" w:eastAsia="仿宋_GB2312"/>
          <w:b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全文控制在20页</w:t>
      </w:r>
      <w:r>
        <w:rPr>
          <w:rFonts w:eastAsia="仿宋_GB2312"/>
          <w:szCs w:val="28"/>
        </w:rPr>
        <w:t>A4</w:t>
      </w:r>
      <w:r>
        <w:rPr>
          <w:rFonts w:hint="eastAsia" w:eastAsia="仿宋_GB2312"/>
          <w:szCs w:val="28"/>
        </w:rPr>
        <w:t>纸以内，并按以下顺序编排：作品名</w:t>
      </w:r>
      <w:r>
        <w:rPr>
          <w:rFonts w:eastAsia="仿宋_GB2312"/>
          <w:szCs w:val="28"/>
        </w:rPr>
        <w:t>+</w:t>
      </w:r>
      <w:r>
        <w:rPr>
          <w:rFonts w:hint="eastAsia" w:eastAsia="仿宋_GB2312"/>
          <w:szCs w:val="28"/>
        </w:rPr>
        <w:t>“食谱设计说明书”、设计者、指导教师、学校名＋院系名、摘要、关键词、正文可自行组织，但应包括下列内容：</w:t>
      </w:r>
      <w:r>
        <w:rPr>
          <w:rFonts w:hint="eastAsia" w:eastAsia="仿宋_GB2312"/>
          <w:szCs w:val="28"/>
          <w:lang w:val="en-US" w:eastAsia="zh-CN"/>
        </w:rPr>
        <w:t xml:space="preserve"> 背景及意义</w:t>
      </w:r>
      <w:r>
        <w:rPr>
          <w:rFonts w:hint="eastAsia" w:eastAsia="仿宋_GB2312"/>
          <w:szCs w:val="28"/>
        </w:rPr>
        <w:t>（国内外相关研究现状）、设计制作中解决的关键技术问题的描述、作品实物或模型的照片、创新特色、预计应用</w:t>
      </w:r>
      <w:r>
        <w:rPr>
          <w:rFonts w:hint="eastAsia" w:eastAsia="仿宋_GB2312"/>
          <w:szCs w:val="28"/>
          <w:lang w:val="en-US" w:eastAsia="zh-CN"/>
        </w:rPr>
        <w:t>场景</w:t>
      </w:r>
      <w:r>
        <w:rPr>
          <w:rFonts w:hint="eastAsia" w:eastAsia="仿宋_GB2312"/>
          <w:szCs w:val="28"/>
        </w:rPr>
        <w:t>等、参考文献。不加封面。采用</w:t>
      </w:r>
      <w:r>
        <w:rPr>
          <w:rFonts w:eastAsia="仿宋_GB2312"/>
          <w:szCs w:val="28"/>
        </w:rPr>
        <w:t>word 200</w:t>
      </w:r>
      <w:r>
        <w:rPr>
          <w:rFonts w:hint="eastAsia" w:eastAsia="仿宋_GB2312"/>
          <w:szCs w:val="28"/>
        </w:rPr>
        <w:t>3及以上版本编排。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2</w:t>
      </w:r>
      <w:r>
        <w:rPr>
          <w:rFonts w:hint="eastAsia" w:eastAsia="仿宋_GB2312"/>
          <w:b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A4</w:t>
      </w:r>
      <w:r>
        <w:rPr>
          <w:rFonts w:hint="eastAsia" w:eastAsia="仿宋_GB2312"/>
          <w:szCs w:val="28"/>
        </w:rPr>
        <w:t>页面。页边距：上</w:t>
      </w:r>
      <w:r>
        <w:rPr>
          <w:rFonts w:eastAsia="仿宋_GB2312"/>
          <w:szCs w:val="28"/>
        </w:rPr>
        <w:t>25mm</w:t>
      </w:r>
      <w:r>
        <w:rPr>
          <w:rFonts w:hint="eastAsia" w:eastAsia="仿宋_GB2312"/>
          <w:szCs w:val="28"/>
        </w:rPr>
        <w:t>，下</w:t>
      </w:r>
      <w:r>
        <w:rPr>
          <w:rFonts w:eastAsia="仿宋_GB2312"/>
          <w:szCs w:val="28"/>
        </w:rPr>
        <w:t>25mm</w:t>
      </w:r>
      <w:r>
        <w:rPr>
          <w:rFonts w:hint="eastAsia" w:eastAsia="仿宋_GB2312"/>
          <w:szCs w:val="28"/>
        </w:rPr>
        <w:t>，左、右各</w:t>
      </w:r>
      <w:r>
        <w:rPr>
          <w:rFonts w:eastAsia="仿宋_GB2312"/>
          <w:szCs w:val="28"/>
        </w:rPr>
        <w:t>2</w:t>
      </w:r>
      <w:r>
        <w:rPr>
          <w:rFonts w:hint="eastAsia" w:eastAsia="仿宋_GB2312"/>
          <w:szCs w:val="28"/>
          <w:lang w:val="en-US" w:eastAsia="zh-CN"/>
        </w:rPr>
        <w:t>0</w:t>
      </w:r>
      <w:r>
        <w:rPr>
          <w:rFonts w:eastAsia="仿宋_GB2312"/>
          <w:szCs w:val="28"/>
        </w:rPr>
        <w:t>mm</w:t>
      </w:r>
      <w:r>
        <w:rPr>
          <w:rFonts w:hint="eastAsia" w:eastAsia="仿宋_GB2312"/>
          <w:szCs w:val="28"/>
        </w:rPr>
        <w:t>。正文采用小四号字体，标准字间距，</w:t>
      </w:r>
      <w:r>
        <w:rPr>
          <w:rFonts w:hint="eastAsia" w:eastAsia="仿宋_GB2312"/>
          <w:szCs w:val="28"/>
          <w:lang w:val="en-US" w:eastAsia="zh-CN"/>
        </w:rPr>
        <w:t>单</w:t>
      </w:r>
      <w:r>
        <w:rPr>
          <w:rFonts w:hint="eastAsia" w:eastAsia="仿宋_GB2312"/>
          <w:szCs w:val="28"/>
        </w:rPr>
        <w:t>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3</w:t>
      </w:r>
      <w:r>
        <w:rPr>
          <w:rFonts w:hint="eastAsia" w:eastAsia="仿宋_GB2312"/>
          <w:b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Cs w:val="28"/>
        </w:rPr>
        <w:t>Times New Roman</w:t>
      </w:r>
      <w:r>
        <w:rPr>
          <w:rFonts w:hint="eastAsia" w:eastAsia="仿宋_GB2312"/>
          <w:szCs w:val="28"/>
        </w:rPr>
        <w:t>（矢量、矩阵用黑斜体）；坐标图的横纵坐标应标注对应量的名称和符号</w:t>
      </w:r>
      <w:r>
        <w:rPr>
          <w:rFonts w:eastAsia="仿宋_GB2312"/>
          <w:szCs w:val="28"/>
        </w:rPr>
        <w:t>/</w:t>
      </w:r>
      <w:r>
        <w:rPr>
          <w:rFonts w:hint="eastAsia" w:eastAsia="仿宋_GB2312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hint="default" w:eastAsia="仿宋_GB2312"/>
          <w:b/>
          <w:szCs w:val="28"/>
          <w:lang w:val="en-US" w:eastAsia="zh-CN"/>
        </w:rPr>
      </w:pPr>
      <w:r>
        <w:rPr>
          <w:rFonts w:eastAsia="仿宋_GB2312"/>
          <w:b/>
          <w:szCs w:val="28"/>
        </w:rPr>
        <w:t>4</w:t>
      </w:r>
      <w:r>
        <w:rPr>
          <w:rFonts w:hint="eastAsia" w:eastAsia="仿宋_GB2312"/>
          <w:b/>
          <w:szCs w:val="28"/>
        </w:rPr>
        <w:t>．</w:t>
      </w:r>
      <w:r>
        <w:rPr>
          <w:rFonts w:hint="eastAsia" w:eastAsia="仿宋_GB2312"/>
          <w:b/>
          <w:szCs w:val="28"/>
          <w:lang w:val="en-US" w:eastAsia="zh-CN"/>
        </w:rPr>
        <w:t>参考示例</w:t>
      </w:r>
    </w:p>
    <w:p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lang w:val="en-US" w:eastAsia="zh-CN"/>
        </w:rPr>
        <w:t>健脾养胃药膳粥食谱</w:t>
      </w:r>
      <w:r>
        <w:rPr>
          <w:rFonts w:hint="eastAsia" w:eastAsia="黑体"/>
          <w:bCs/>
          <w:sz w:val="32"/>
        </w:rPr>
        <w:t>设计说明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设计者：×××，×××，×××，×××，×××</w:t>
      </w:r>
    </w:p>
    <w:p>
      <w:pPr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指导教师：×××，×××</w:t>
      </w:r>
    </w:p>
    <w:p>
      <w:pPr>
        <w:jc w:val="center"/>
        <w:rPr>
          <w:szCs w:val="24"/>
        </w:rPr>
      </w:pPr>
      <w:r>
        <w:rPr>
          <w:rFonts w:hint="eastAsia"/>
          <w:szCs w:val="24"/>
        </w:rPr>
        <w:t>（</w:t>
      </w:r>
      <w:r>
        <w:t>XX</w:t>
      </w:r>
      <w:r>
        <w:rPr>
          <w:rFonts w:hint="eastAsia"/>
          <w:szCs w:val="24"/>
        </w:rPr>
        <w:t>学院，</w:t>
      </w:r>
      <w:r>
        <w:rPr>
          <w:rFonts w:hint="eastAsia" w:ascii="宋体" w:hAnsi="宋体"/>
          <w:szCs w:val="24"/>
        </w:rPr>
        <w:t>×××，×××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）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（空一行）</w:t>
      </w:r>
    </w:p>
    <w:p>
      <w:pPr>
        <w:jc w:val="center"/>
        <w:rPr>
          <w:rFonts w:eastAsia="黑体"/>
          <w:bCs/>
          <w:szCs w:val="24"/>
        </w:rPr>
      </w:pPr>
    </w:p>
    <w:p>
      <w:pPr>
        <w:ind w:firstLine="480" w:firstLineChars="200"/>
        <w:rPr>
          <w:rFonts w:hint="eastAsia"/>
          <w:szCs w:val="24"/>
        </w:rPr>
      </w:pPr>
      <w:r>
        <w:rPr>
          <w:rFonts w:hint="eastAsia" w:ascii="宋体" w:hAnsi="宋体"/>
          <w:lang w:val="en-US" w:eastAsia="zh-CN"/>
        </w:rPr>
        <w:t>摘要：以粳米、薏苡仁、牛蒡、胡萝卜、香菇、鸡肉为原料设计健脾养胃药膳粥</w:t>
      </w:r>
      <w:r>
        <w:rPr>
          <w:rFonts w:hint="eastAsia" w:ascii="宋体" w:hAnsi="宋体"/>
          <w:szCs w:val="24"/>
        </w:rPr>
        <w:t>……（</w:t>
      </w:r>
      <w:r>
        <w:rPr>
          <w:rFonts w:hint="eastAsia"/>
          <w:szCs w:val="24"/>
          <w:lang w:val="en-US" w:eastAsia="zh-CN"/>
        </w:rPr>
        <w:t>200-300</w:t>
      </w:r>
      <w:r>
        <w:rPr>
          <w:rFonts w:hint="eastAsia"/>
          <w:szCs w:val="24"/>
        </w:rPr>
        <w:t>字以内）。</w:t>
      </w:r>
    </w:p>
    <w:p>
      <w:pPr>
        <w:ind w:firstLine="480" w:firstLineChars="200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关键词：</w:t>
      </w:r>
      <w:r>
        <w:rPr>
          <w:rFonts w:hint="eastAsia" w:ascii="宋体" w:hAnsi="宋体"/>
          <w:szCs w:val="24"/>
        </w:rPr>
        <w:t>（</w:t>
      </w:r>
      <w:r>
        <w:rPr>
          <w:rFonts w:hint="eastAsia"/>
          <w:szCs w:val="24"/>
          <w:lang w:val="en-US" w:eastAsia="zh-CN"/>
        </w:rPr>
        <w:t>3-5个</w:t>
      </w:r>
      <w:r>
        <w:rPr>
          <w:rFonts w:hint="eastAsia"/>
          <w:szCs w:val="24"/>
        </w:rPr>
        <w:t>）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（空一行）</w:t>
      </w:r>
    </w:p>
    <w:p>
      <w:pPr>
        <w:spacing w:before="156" w:beforeLines="50" w:after="156" w:afterLines="50"/>
        <w:rPr>
          <w:rFonts w:hint="default" w:eastAsia="黑体"/>
          <w:bCs/>
          <w:lang w:val="en-US" w:eastAsia="zh-CN"/>
        </w:rPr>
      </w:pPr>
      <w:r>
        <w:rPr>
          <w:rFonts w:hint="eastAsia" w:eastAsia="黑体"/>
          <w:bCs/>
          <w:lang w:val="en-US" w:eastAsia="zh-CN"/>
        </w:rPr>
        <w:t>1 背景及意义</w:t>
      </w:r>
    </w:p>
    <w:p>
      <w:pPr>
        <w:spacing w:before="156" w:beforeLines="50" w:after="156" w:afterLines="50"/>
        <w:rPr>
          <w:rFonts w:hint="eastAsia" w:ascii="黑体" w:eastAsia="黑体"/>
          <w:bCs/>
          <w:lang w:val="en-US" w:eastAsia="zh-CN"/>
        </w:rPr>
      </w:pPr>
      <w:r>
        <w:rPr>
          <w:rFonts w:eastAsia="黑体"/>
          <w:bCs/>
        </w:rPr>
        <w:t>2</w:t>
      </w:r>
      <w:r>
        <w:rPr>
          <w:rFonts w:hint="eastAsia" w:eastAsia="黑体"/>
          <w:bCs/>
        </w:rPr>
        <w:t>.</w:t>
      </w:r>
      <w:r>
        <w:rPr>
          <w:rFonts w:hint="eastAsia" w:ascii="黑体" w:eastAsia="黑体"/>
          <w:bCs/>
        </w:rPr>
        <w:t xml:space="preserve"> </w:t>
      </w:r>
      <w:r>
        <w:rPr>
          <w:rFonts w:hint="eastAsia" w:ascii="黑体" w:eastAsia="黑体"/>
          <w:bCs/>
          <w:lang w:val="en-US" w:eastAsia="zh-CN"/>
        </w:rPr>
        <w:t>设计方案</w:t>
      </w:r>
    </w:p>
    <w:p>
      <w:pPr>
        <w:widowControl/>
        <w:spacing w:after="156" w:afterLines="50"/>
        <w:jc w:val="left"/>
        <w:rPr>
          <w:rFonts w:hint="default" w:eastAsia="黑体"/>
          <w:szCs w:val="24"/>
          <w:lang w:val="en-US" w:eastAsia="zh-CN"/>
        </w:rPr>
      </w:pPr>
      <w:r>
        <w:rPr>
          <w:rFonts w:eastAsia="黑体"/>
          <w:szCs w:val="24"/>
        </w:rPr>
        <w:t>2.</w:t>
      </w:r>
      <w:r>
        <w:rPr>
          <w:rFonts w:hint="eastAsia" w:eastAsia="黑体"/>
          <w:szCs w:val="24"/>
          <w:lang w:val="en-US" w:eastAsia="zh-CN"/>
        </w:rPr>
        <w:t>1</w:t>
      </w:r>
      <w:r>
        <w:rPr>
          <w:rFonts w:eastAsia="黑体"/>
          <w:szCs w:val="24"/>
        </w:rPr>
        <w:t xml:space="preserve"> </w:t>
      </w:r>
      <w:r>
        <w:rPr>
          <w:rFonts w:hint="eastAsia" w:eastAsia="黑体"/>
          <w:szCs w:val="24"/>
          <w:lang w:val="en-US" w:eastAsia="zh-CN"/>
        </w:rPr>
        <w:t>设计思路</w:t>
      </w:r>
    </w:p>
    <w:p>
      <w:pPr>
        <w:widowControl/>
        <w:spacing w:after="156" w:afterLines="50"/>
        <w:jc w:val="left"/>
        <w:rPr>
          <w:rFonts w:hint="default" w:ascii="黑体" w:hAnsi="宋体" w:eastAsia="黑体"/>
          <w:kern w:val="0"/>
          <w:szCs w:val="24"/>
          <w:lang w:val="en-US" w:eastAsia="zh-CN"/>
        </w:rPr>
      </w:pPr>
      <w:r>
        <w:rPr>
          <w:rFonts w:hint="eastAsia" w:eastAsia="黑体"/>
          <w:bCs/>
          <w:lang w:val="en-US" w:eastAsia="zh-CN"/>
        </w:rPr>
        <w:t>2.2 药膳配方及理由</w:t>
      </w:r>
    </w:p>
    <w:p>
      <w:pPr>
        <w:ind w:firstLine="48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2.2.1 基本配方</w:t>
      </w:r>
    </w:p>
    <w:p>
      <w:pPr>
        <w:ind w:firstLine="48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val="en-US" w:eastAsia="zh-CN"/>
        </w:rPr>
        <w:t>配方：</w:t>
      </w:r>
      <w:r>
        <w:rPr>
          <w:rFonts w:hint="eastAsia" w:ascii="宋体" w:hAnsi="宋体"/>
        </w:rPr>
        <w:t>粳米120 g、薏苡仁40 g、干香菇15 g、牛蒡30 g、胡萝卜42 g、鸡肉60 g、精盐6g、香油3mL、料 酒2 mL、葱3g、姜片3g</w:t>
      </w:r>
      <w:r>
        <w:rPr>
          <w:rFonts w:hint="eastAsia" w:ascii="宋体" w:hAnsi="宋体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2.2.2 选用理由</w:t>
      </w:r>
    </w:p>
    <w:p>
      <w:pPr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粳米：粳米中的蛋白质虽然只占 7% ，但基础用量很大，因此仍然是蛋白质的重要来源。粳米所含人体必需氨基酸比较全面，还含有脂肪、钙、磷、铁及 B族维生素等多种营养成分。粳米米糠层的粗纤维分子有助胃肠蠕动，对胃病、便秘等疗效很好。适当食用粳米，能提高人体免疫功能，促进血液循环，从而减少高血压的发病概率; 能预防糖尿病、脚气病、老年斑和便秘等疾病; 能降低胆固醇，减少心脏病发作和中风的几率。</w:t>
      </w:r>
    </w:p>
    <w:p>
      <w:pPr>
        <w:spacing w:before="156" w:beforeLines="50" w:after="156" w:afterLines="50"/>
        <w:rPr>
          <w:rFonts w:hint="eastAsia" w:eastAsia="黑体"/>
          <w:bCs/>
          <w:lang w:val="en-US" w:eastAsia="zh-CN"/>
        </w:rPr>
      </w:pPr>
      <w:r>
        <w:rPr>
          <w:rFonts w:hint="eastAsia" w:eastAsia="黑体"/>
          <w:bCs/>
          <w:lang w:val="en-US" w:eastAsia="zh-CN"/>
        </w:rPr>
        <w:t>2.</w:t>
      </w:r>
      <w:r>
        <w:rPr>
          <w:rFonts w:eastAsia="黑体"/>
          <w:bCs/>
        </w:rPr>
        <w:t xml:space="preserve">3 </w:t>
      </w:r>
      <w:r>
        <w:rPr>
          <w:rFonts w:hint="eastAsia" w:eastAsia="黑体"/>
          <w:bCs/>
          <w:lang w:val="en-US" w:eastAsia="zh-CN"/>
        </w:rPr>
        <w:t>药膳加工方法及理由</w:t>
      </w:r>
    </w:p>
    <w:p>
      <w:pPr>
        <w:spacing w:before="156" w:beforeLines="50" w:after="156" w:afterLines="50"/>
        <w:rPr>
          <w:rFonts w:hint="eastAsia" w:eastAsia="黑体"/>
          <w:bCs/>
          <w:lang w:val="en-US" w:eastAsia="zh-CN"/>
        </w:rPr>
      </w:pPr>
      <w:r>
        <w:rPr>
          <w:rFonts w:hint="eastAsia" w:ascii="宋体" w:hAnsi="宋体"/>
        </w:rPr>
        <w:t>……</w:t>
      </w:r>
    </w:p>
    <w:p>
      <w:pPr>
        <w:spacing w:before="156" w:beforeLines="50" w:after="156" w:afterLines="50"/>
        <w:rPr>
          <w:rFonts w:hint="eastAsia" w:ascii="黑体" w:hAnsi="宋体" w:eastAsia="黑体"/>
        </w:rPr>
      </w:pPr>
      <w:r>
        <w:rPr>
          <w:rFonts w:hint="eastAsia" w:eastAsia="黑体"/>
          <w:bCs/>
          <w:lang w:val="en-US" w:eastAsia="zh-CN"/>
        </w:rPr>
        <w:t>3</w:t>
      </w:r>
      <w:r>
        <w:rPr>
          <w:rFonts w:eastAsia="黑体"/>
          <w:bCs/>
        </w:rPr>
        <w:t xml:space="preserve"> </w:t>
      </w:r>
      <w:r>
        <w:rPr>
          <w:rFonts w:hint="eastAsia" w:eastAsia="黑体"/>
          <w:bCs/>
          <w:lang w:val="en-US" w:eastAsia="zh-CN"/>
        </w:rPr>
        <w:t>药膳</w:t>
      </w:r>
      <w:r>
        <w:rPr>
          <w:rFonts w:hint="eastAsia" w:ascii="黑体" w:hAnsi="宋体" w:eastAsia="黑体"/>
          <w:lang w:val="en-US" w:eastAsia="zh-CN"/>
        </w:rPr>
        <w:t>效用</w:t>
      </w:r>
      <w:r>
        <w:rPr>
          <w:rFonts w:hint="eastAsia" w:ascii="黑体" w:hAnsi="宋体" w:eastAsia="黑体"/>
        </w:rPr>
        <w:t>分析</w:t>
      </w:r>
    </w:p>
    <w:p>
      <w:pPr>
        <w:spacing w:before="156" w:beforeLines="50" w:after="156" w:afterLines="50"/>
        <w:rPr>
          <w:rFonts w:hint="eastAsia" w:ascii="黑体" w:hAnsi="宋体" w:eastAsia="黑体"/>
        </w:rPr>
      </w:pPr>
      <w:r>
        <w:rPr>
          <w:rFonts w:hint="eastAsia" w:ascii="宋体" w:hAnsi="宋体"/>
        </w:rPr>
        <w:t>……</w:t>
      </w:r>
    </w:p>
    <w:p>
      <w:pPr>
        <w:spacing w:before="156" w:beforeLines="50" w:after="156" w:afterLines="50"/>
        <w:rPr>
          <w:rFonts w:ascii="黑体" w:hAnsi="宋体" w:eastAsia="黑体"/>
        </w:rPr>
      </w:pPr>
      <w:r>
        <w:rPr>
          <w:rFonts w:hint="eastAsia" w:eastAsia="黑体"/>
          <w:lang w:val="en-US" w:eastAsia="zh-CN"/>
        </w:rPr>
        <w:t>4</w:t>
      </w:r>
      <w:r>
        <w:rPr>
          <w:rFonts w:eastAsia="黑体"/>
        </w:rPr>
        <w:t xml:space="preserve"> </w:t>
      </w:r>
      <w:r>
        <w:rPr>
          <w:rFonts w:hint="eastAsia" w:ascii="黑体" w:hAnsi="宋体" w:eastAsia="黑体"/>
        </w:rPr>
        <w:t>创新点及应用</w:t>
      </w:r>
    </w:p>
    <w:p>
      <w:pPr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……</w:t>
      </w:r>
    </w:p>
    <w:p>
      <w:pPr>
        <w:ind w:firstLine="480" w:firstLineChars="200"/>
        <w:rPr>
          <w:rFonts w:hint="eastAsia" w:ascii="宋体" w:hAnsi="宋体"/>
        </w:rPr>
      </w:pPr>
    </w:p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正文中表示物理量的符号，表示点、线、面的字母均用Times New Roman斜体；</w:t>
      </w:r>
    </w:p>
    <w:p>
      <w:pPr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表示法定计量单位、词头的符号、函数等，化学元素符号均用Times New Roman正体。</w:t>
      </w:r>
    </w:p>
    <w:p>
      <w:pPr>
        <w:ind w:firstLine="480" w:firstLineChars="200"/>
        <w:rPr>
          <w:szCs w:val="24"/>
        </w:rPr>
      </w:pP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（空一行）</w:t>
      </w:r>
    </w:p>
    <w:p>
      <w:pPr>
        <w:jc w:val="center"/>
        <w:rPr>
          <w:rFonts w:ascii="黑体" w:eastAsia="黑体"/>
          <w:bCs/>
        </w:rPr>
      </w:pPr>
      <w:r>
        <w:rPr>
          <w:rFonts w:hint="eastAsia" w:ascii="黑体" w:eastAsia="黑体"/>
          <w:bCs/>
          <w:szCs w:val="24"/>
        </w:rPr>
        <w:t>参考文献</w:t>
      </w:r>
    </w:p>
    <w:p>
      <w:pPr>
        <w:jc w:val="center"/>
        <w:rPr>
          <w:rFonts w:ascii="黑体" w:eastAsia="黑体"/>
          <w:bCs/>
          <w:szCs w:val="24"/>
        </w:rPr>
      </w:pPr>
    </w:p>
    <w:p>
      <w:pPr>
        <w:numPr>
          <w:ilvl w:val="0"/>
          <w:numId w:val="1"/>
        </w:num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XXX</w:t>
      </w:r>
      <w:r>
        <w:rPr>
          <w:rFonts w:hint="eastAsia"/>
          <w:szCs w:val="24"/>
        </w:rPr>
        <w:t xml:space="preserve">, </w:t>
      </w:r>
      <w:r>
        <w:rPr>
          <w:rFonts w:hint="eastAsia"/>
          <w:szCs w:val="24"/>
          <w:lang w:val="en-US" w:eastAsia="zh-CN"/>
        </w:rPr>
        <w:t>XXX</w:t>
      </w:r>
      <w:r>
        <w:rPr>
          <w:rFonts w:hint="eastAsia"/>
          <w:szCs w:val="24"/>
        </w:rPr>
        <w:t xml:space="preserve">, </w:t>
      </w:r>
      <w:r>
        <w:rPr>
          <w:rFonts w:hint="eastAsia"/>
          <w:szCs w:val="24"/>
          <w:lang w:val="en-US" w:eastAsia="zh-CN"/>
        </w:rPr>
        <w:t>XXX</w:t>
      </w:r>
      <w:r>
        <w:rPr>
          <w:rFonts w:hint="eastAsia"/>
          <w:szCs w:val="24"/>
        </w:rPr>
        <w:t>, 等. 《 中国药典》 治疗跌打损伤中药及中成药组方规律分析[J]. 中国民族民间医药, 2019 (2019 年 13): 5-12, 18.xxx．节能技术基础．xxxxxx出版社，1996：15-47</w:t>
      </w:r>
    </w:p>
    <w:p>
      <w:pPr>
        <w:numPr>
          <w:ilvl w:val="0"/>
          <w:numId w:val="1"/>
        </w:num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XXX,</w:t>
      </w:r>
      <w:r>
        <w:rPr>
          <w:rFonts w:hint="eastAsia"/>
          <w:szCs w:val="24"/>
        </w:rPr>
        <w:t xml:space="preserve"> 健脾养胃药膳粥的配方及工艺优化[J]. 江苏调味副食品, 2019 (2): 14-19.</w:t>
      </w:r>
    </w:p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健康药膳创新创业大赛参赛作品（</w:t>
      </w:r>
      <w:r>
        <w:rPr>
          <w:rFonts w:hint="eastAsia" w:ascii="黑体" w:eastAsia="黑体"/>
          <w:sz w:val="32"/>
          <w:szCs w:val="32"/>
          <w:lang w:val="en-US" w:eastAsia="zh-CN"/>
        </w:rPr>
        <w:t>健康创业</w:t>
      </w:r>
      <w:r>
        <w:rPr>
          <w:rFonts w:hint="eastAsia" w:ascii="黑体" w:eastAsia="黑体"/>
          <w:sz w:val="32"/>
          <w:szCs w:val="32"/>
        </w:rPr>
        <w:t>类）</w:t>
      </w:r>
      <w:r>
        <w:rPr>
          <w:rFonts w:hint="eastAsia" w:ascii="黑体" w:eastAsia="黑体"/>
          <w:sz w:val="32"/>
          <w:szCs w:val="32"/>
          <w:lang w:val="en-US" w:eastAsia="zh-CN"/>
        </w:rPr>
        <w:t>格式</w:t>
      </w:r>
      <w:r>
        <w:rPr>
          <w:rFonts w:hint="eastAsia" w:ascii="黑体" w:eastAsia="黑体"/>
          <w:sz w:val="32"/>
          <w:szCs w:val="32"/>
        </w:rPr>
        <w:t>规范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1</w:t>
      </w:r>
      <w:r>
        <w:rPr>
          <w:rFonts w:hint="eastAsia" w:eastAsia="仿宋_GB2312"/>
          <w:szCs w:val="28"/>
        </w:rPr>
        <w:t>．</w:t>
      </w:r>
      <w:r>
        <w:rPr>
          <w:rFonts w:hint="eastAsia" w:eastAsia="仿宋_GB2312"/>
          <w:b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hint="default" w:eastAsia="仿宋_GB2312"/>
          <w:szCs w:val="28"/>
          <w:lang w:val="en-US" w:eastAsia="zh-CN"/>
        </w:rPr>
      </w:pPr>
      <w:r>
        <w:rPr>
          <w:rFonts w:hint="eastAsia" w:eastAsia="仿宋_GB2312"/>
          <w:szCs w:val="28"/>
          <w:lang w:val="en-US" w:eastAsia="zh-CN"/>
        </w:rPr>
        <w:t>全文控制在30页A4纸以内，</w:t>
      </w:r>
      <w:r>
        <w:rPr>
          <w:rFonts w:hint="eastAsia" w:eastAsia="仿宋_GB2312"/>
          <w:szCs w:val="28"/>
        </w:rPr>
        <w:t>正文可自行组织，但应包括下列内容：</w:t>
      </w:r>
      <w:r>
        <w:rPr>
          <w:rFonts w:hint="eastAsia" w:eastAsia="仿宋_GB2312"/>
          <w:szCs w:val="28"/>
          <w:lang w:val="en-US" w:eastAsia="zh-CN"/>
        </w:rPr>
        <w:t xml:space="preserve"> 执行总结、服务打造、市场分析与预测、营销策略、财务分析与预测、附录等。不加</w:t>
      </w:r>
      <w:r>
        <w:rPr>
          <w:rFonts w:hint="eastAsia" w:eastAsia="仿宋_GB2312"/>
          <w:szCs w:val="28"/>
        </w:rPr>
        <w:t>封面。采用</w:t>
      </w:r>
      <w:r>
        <w:rPr>
          <w:rFonts w:eastAsia="仿宋_GB2312"/>
          <w:szCs w:val="28"/>
        </w:rPr>
        <w:t>word 200</w:t>
      </w:r>
      <w:r>
        <w:rPr>
          <w:rFonts w:hint="eastAsia" w:eastAsia="仿宋_GB2312"/>
          <w:szCs w:val="28"/>
        </w:rPr>
        <w:t>3及以上版本编排。</w:t>
      </w:r>
      <w:bookmarkStart w:id="0" w:name="_GoBack"/>
      <w:bookmarkEnd w:id="0"/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2</w:t>
      </w:r>
      <w:r>
        <w:rPr>
          <w:rFonts w:hint="eastAsia" w:eastAsia="仿宋_GB2312"/>
          <w:b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A4</w:t>
      </w:r>
      <w:r>
        <w:rPr>
          <w:rFonts w:hint="eastAsia" w:eastAsia="仿宋_GB2312"/>
          <w:szCs w:val="28"/>
        </w:rPr>
        <w:t>页面。页边距：上</w:t>
      </w:r>
      <w:r>
        <w:rPr>
          <w:rFonts w:eastAsia="仿宋_GB2312"/>
          <w:szCs w:val="28"/>
        </w:rPr>
        <w:t>25mm</w:t>
      </w:r>
      <w:r>
        <w:rPr>
          <w:rFonts w:hint="eastAsia" w:eastAsia="仿宋_GB2312"/>
          <w:szCs w:val="28"/>
        </w:rPr>
        <w:t>，下</w:t>
      </w:r>
      <w:r>
        <w:rPr>
          <w:rFonts w:eastAsia="仿宋_GB2312"/>
          <w:szCs w:val="28"/>
        </w:rPr>
        <w:t>25mm</w:t>
      </w:r>
      <w:r>
        <w:rPr>
          <w:rFonts w:hint="eastAsia" w:eastAsia="仿宋_GB2312"/>
          <w:szCs w:val="28"/>
        </w:rPr>
        <w:t>，左、右各</w:t>
      </w:r>
      <w:r>
        <w:rPr>
          <w:rFonts w:eastAsia="仿宋_GB2312"/>
          <w:szCs w:val="28"/>
        </w:rPr>
        <w:t>20mm</w:t>
      </w:r>
      <w:r>
        <w:rPr>
          <w:rFonts w:hint="eastAsia" w:eastAsia="仿宋_GB2312"/>
          <w:szCs w:val="28"/>
        </w:rPr>
        <w:t>。正文采用小四号字体，标准字间距，单倍行间距。不要设置页眉，页码位于页面底部居中。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3</w:t>
      </w:r>
      <w:r>
        <w:rPr>
          <w:rFonts w:hint="eastAsia" w:eastAsia="仿宋_GB2312"/>
          <w:b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Cs w:val="28"/>
        </w:rPr>
        <w:t>Times New Roman</w:t>
      </w:r>
      <w:r>
        <w:rPr>
          <w:rFonts w:hint="eastAsia" w:eastAsia="仿宋_GB2312"/>
          <w:szCs w:val="28"/>
        </w:rPr>
        <w:t>（矢量、矩阵用黑斜体）；坐标图的横纵坐标应标注对应量的名称和符号</w:t>
      </w:r>
      <w:r>
        <w:rPr>
          <w:rFonts w:eastAsia="仿宋_GB2312"/>
          <w:szCs w:val="28"/>
        </w:rPr>
        <w:t>/</w:t>
      </w:r>
      <w:r>
        <w:rPr>
          <w:rFonts w:hint="eastAsia" w:eastAsia="仿宋_GB2312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4</w:t>
      </w:r>
      <w:r>
        <w:rPr>
          <w:rFonts w:hint="eastAsia" w:eastAsia="仿宋_GB2312"/>
          <w:b/>
          <w:szCs w:val="28"/>
        </w:rPr>
        <w:t>．参考示例</w:t>
      </w:r>
    </w:p>
    <w:p/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TOC \o "1-2" \h \z \u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"_Toc195981434"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第一章  执行总结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"_Toc195981435"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1.1项目简介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"_Toc195981436"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1.2服务简介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"_Toc195981437"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1.3市场分析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"_Toc195981438"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1.4营销策略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"_Toc195981439"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1.5管理</w:t>
      </w:r>
      <w:r>
        <w:rPr>
          <w:rFonts w:hint="eastAsia" w:eastAsia="仿宋_GB2312"/>
          <w:szCs w:val="28"/>
        </w:rPr>
        <w:fldChar w:fldCharType="end"/>
      </w:r>
      <w:r>
        <w:rPr>
          <w:rFonts w:hint="eastAsia" w:eastAsia="仿宋_GB2312"/>
          <w:szCs w:val="28"/>
        </w:rPr>
        <w:t>策略</w:t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"_Toc195981440"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1.6财务分析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"_Toc195981441"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1.7风险分析和管理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"_Toc195981442"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1.8法律关系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"_Toc195981443"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第二章  服务打造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"_Toc195981444"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2.1项目计划简介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"_Toc195981445"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2.2服务内容与服务模式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"_Toc195981446"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2.3技术介绍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"_Toc195981447"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2.4服务优势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"_Toc195981448"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2.5附加产品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"_Toc195981449"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第三章  市场分析与预测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"_Toc195981450"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3.1需求分析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"_Toc195981451"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3.2市场调查结果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"_Toc195981452"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3.3市场预测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"_Toc195981453"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3.4竞争分析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"_Toc195981454"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3.5实际市场反响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"_Toc195981455"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第四章  营销策略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"_Toc195981456"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4.1销售渠道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"_Toc195981457"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4.2项目产品服务价格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"_Toc195981458"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4.3营销计划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"_Toc195981459"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4.4客户关系管理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"_Toc195981461"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第五章  公司战略与管理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"_Toc195981462"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5.1公司文化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"_Toc195981463"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5.2公司战略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"_Toc195981464"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5.3组织结构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"_Toc195981465"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5.4人力资源配置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"_Toc195981466"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5.5人员培训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"_Toc195981467"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5.6人员绩效考核方法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"_Toc195981468"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5.7薪酬奖惩制度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"_Toc195981469"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5.8媒介计划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"_Toc195981470"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第六章  财务分析与预测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"_Toc195981471"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6.1初始投资成本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"_Toc195981472"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6.2财务预算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"_Toc195981473"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6.3财务分析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"_Toc195981474"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6.4投资分析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"_Toc195981475"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第七章  风险分析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"_Toc195981480"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第八章  法律分析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ind w:firstLine="480" w:firstLineChars="200"/>
        <w:rPr>
          <w:rFonts w:hint="eastAsia" w:eastAsia="仿宋_GB2312"/>
          <w:szCs w:val="28"/>
        </w:rPr>
      </w:pPr>
      <w:r>
        <w:rPr>
          <w:rFonts w:hint="eastAsia" w:eastAsia="仿宋_GB2312"/>
          <w:szCs w:val="28"/>
        </w:rPr>
        <w:fldChar w:fldCharType="begin"/>
      </w:r>
      <w:r>
        <w:rPr>
          <w:rFonts w:hint="eastAsia" w:eastAsia="仿宋_GB2312"/>
          <w:szCs w:val="28"/>
        </w:rPr>
        <w:instrText xml:space="preserve"> HYPERLINK \l "_Toc195981484" </w:instrText>
      </w:r>
      <w:r>
        <w:rPr>
          <w:rFonts w:hint="eastAsia" w:eastAsia="仿宋_GB2312"/>
          <w:szCs w:val="28"/>
        </w:rPr>
        <w:fldChar w:fldCharType="separate"/>
      </w:r>
      <w:r>
        <w:rPr>
          <w:rFonts w:hint="eastAsia" w:eastAsia="仿宋_GB2312"/>
          <w:szCs w:val="28"/>
        </w:rPr>
        <w:t>第九章  附录</w:t>
      </w:r>
      <w:r>
        <w:rPr>
          <w:rFonts w:hint="eastAsia" w:eastAsia="仿宋_GB2312"/>
          <w:szCs w:val="28"/>
        </w:rPr>
        <w:fldChar w:fldCharType="end"/>
      </w:r>
    </w:p>
    <w:p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eastAsia="仿宋_GB2312"/>
          <w:szCs w:val="28"/>
        </w:rPr>
        <w:fldChar w:fldCharType="end"/>
      </w:r>
      <w:r>
        <w:rPr>
          <w:rFonts w:hint="eastAsia" w:ascii="黑体" w:eastAsia="黑体"/>
          <w:sz w:val="32"/>
          <w:szCs w:val="32"/>
        </w:rPr>
        <w:t>健康药膳创新创业大赛参赛作品（</w:t>
      </w:r>
      <w:r>
        <w:rPr>
          <w:rFonts w:hint="eastAsia" w:ascii="黑体" w:eastAsia="黑体"/>
          <w:sz w:val="32"/>
          <w:szCs w:val="32"/>
          <w:lang w:val="en-US" w:eastAsia="zh-CN"/>
        </w:rPr>
        <w:t>创新制作</w:t>
      </w:r>
      <w:r>
        <w:rPr>
          <w:rFonts w:hint="eastAsia" w:ascii="黑体" w:eastAsia="黑体"/>
          <w:sz w:val="32"/>
          <w:szCs w:val="32"/>
        </w:rPr>
        <w:t>类）格式规范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1</w:t>
      </w:r>
      <w:r>
        <w:rPr>
          <w:rFonts w:hint="eastAsia" w:eastAsia="仿宋_GB2312"/>
          <w:szCs w:val="28"/>
        </w:rPr>
        <w:t>．</w:t>
      </w:r>
      <w:r>
        <w:rPr>
          <w:rFonts w:hint="eastAsia" w:eastAsia="仿宋_GB2312"/>
          <w:b/>
          <w:szCs w:val="28"/>
        </w:rPr>
        <w:t>总体要求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全文控制在20页</w:t>
      </w:r>
      <w:r>
        <w:rPr>
          <w:rFonts w:eastAsia="仿宋_GB2312"/>
          <w:szCs w:val="28"/>
        </w:rPr>
        <w:t>A4</w:t>
      </w:r>
      <w:r>
        <w:rPr>
          <w:rFonts w:hint="eastAsia" w:eastAsia="仿宋_GB2312"/>
          <w:szCs w:val="28"/>
        </w:rPr>
        <w:t>纸以内，并按以下顺序编排：作品名</w:t>
      </w:r>
      <w:r>
        <w:rPr>
          <w:rFonts w:eastAsia="仿宋_GB2312"/>
          <w:szCs w:val="28"/>
        </w:rPr>
        <w:t>+</w:t>
      </w:r>
      <w:r>
        <w:rPr>
          <w:rFonts w:hint="eastAsia" w:eastAsia="仿宋_GB2312"/>
          <w:szCs w:val="28"/>
        </w:rPr>
        <w:t>“食谱设计说明书”、</w:t>
      </w:r>
      <w:r>
        <w:rPr>
          <w:rFonts w:hint="eastAsia" w:eastAsia="仿宋_GB2312"/>
          <w:szCs w:val="28"/>
          <w:lang w:val="en-US" w:eastAsia="zh-CN"/>
        </w:rPr>
        <w:t>制作</w:t>
      </w:r>
      <w:r>
        <w:rPr>
          <w:rFonts w:hint="eastAsia" w:eastAsia="仿宋_GB2312"/>
          <w:szCs w:val="28"/>
        </w:rPr>
        <w:t>者、指导教师、学校名＋院系名、摘要、关键词、正文可自行组织，但应包括下列内容：</w:t>
      </w:r>
      <w:r>
        <w:rPr>
          <w:rFonts w:hint="eastAsia" w:eastAsia="仿宋_GB2312"/>
          <w:szCs w:val="28"/>
          <w:lang w:val="en-US" w:eastAsia="zh-CN"/>
        </w:rPr>
        <w:t>背景及意义</w:t>
      </w:r>
      <w:r>
        <w:rPr>
          <w:rFonts w:hint="eastAsia" w:eastAsia="仿宋_GB2312"/>
          <w:szCs w:val="28"/>
        </w:rPr>
        <w:t>、</w:t>
      </w:r>
      <w:r>
        <w:rPr>
          <w:rFonts w:hint="eastAsia" w:eastAsia="仿宋_GB2312"/>
          <w:szCs w:val="28"/>
          <w:lang w:val="en-US" w:eastAsia="zh-CN"/>
        </w:rPr>
        <w:t>制作过程</w:t>
      </w:r>
      <w:r>
        <w:rPr>
          <w:rFonts w:hint="eastAsia" w:eastAsia="仿宋_GB2312"/>
          <w:szCs w:val="28"/>
        </w:rPr>
        <w:t>、作品实物照片、创新特色等、参考文献。不加封面。采用</w:t>
      </w:r>
      <w:r>
        <w:rPr>
          <w:rFonts w:eastAsia="仿宋_GB2312"/>
          <w:szCs w:val="28"/>
        </w:rPr>
        <w:t>word 200</w:t>
      </w:r>
      <w:r>
        <w:rPr>
          <w:rFonts w:hint="eastAsia" w:eastAsia="仿宋_GB2312"/>
          <w:szCs w:val="28"/>
        </w:rPr>
        <w:t>3及以上版本编排。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2</w:t>
      </w:r>
      <w:r>
        <w:rPr>
          <w:rFonts w:hint="eastAsia" w:eastAsia="仿宋_GB2312"/>
          <w:b/>
          <w:szCs w:val="28"/>
        </w:rPr>
        <w:t>．页面要求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A4</w:t>
      </w:r>
      <w:r>
        <w:rPr>
          <w:rFonts w:hint="eastAsia" w:eastAsia="仿宋_GB2312"/>
          <w:szCs w:val="28"/>
        </w:rPr>
        <w:t>页面。页边距：上</w:t>
      </w:r>
      <w:r>
        <w:rPr>
          <w:rFonts w:eastAsia="仿宋_GB2312"/>
          <w:szCs w:val="28"/>
        </w:rPr>
        <w:t>25mm</w:t>
      </w:r>
      <w:r>
        <w:rPr>
          <w:rFonts w:hint="eastAsia" w:eastAsia="仿宋_GB2312"/>
          <w:szCs w:val="28"/>
        </w:rPr>
        <w:t>，下</w:t>
      </w:r>
      <w:r>
        <w:rPr>
          <w:rFonts w:eastAsia="仿宋_GB2312"/>
          <w:szCs w:val="28"/>
        </w:rPr>
        <w:t>25mm</w:t>
      </w:r>
      <w:r>
        <w:rPr>
          <w:rFonts w:hint="eastAsia" w:eastAsia="仿宋_GB2312"/>
          <w:szCs w:val="28"/>
        </w:rPr>
        <w:t>，左、右各</w:t>
      </w:r>
      <w:r>
        <w:rPr>
          <w:rFonts w:eastAsia="仿宋_GB2312"/>
          <w:szCs w:val="28"/>
        </w:rPr>
        <w:t>20mm</w:t>
      </w:r>
      <w:r>
        <w:rPr>
          <w:rFonts w:hint="eastAsia" w:eastAsia="仿宋_GB2312"/>
          <w:szCs w:val="28"/>
        </w:rPr>
        <w:t>。正文采用小四号字体，标准字间距，单倍行间距。不要设置页眉，页码位于页面底部居中。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3</w:t>
      </w:r>
      <w:r>
        <w:rPr>
          <w:rFonts w:hint="eastAsia" w:eastAsia="仿宋_GB2312"/>
          <w:b/>
          <w:szCs w:val="28"/>
        </w:rPr>
        <w:t>．图表要求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Cs w:val="28"/>
        </w:rPr>
        <w:t>Times New Roman</w:t>
      </w:r>
      <w:r>
        <w:rPr>
          <w:rFonts w:hint="eastAsia" w:eastAsia="仿宋_GB2312"/>
          <w:szCs w:val="28"/>
        </w:rPr>
        <w:t>（矢量、矩阵用黑斜体）；坐标图的横纵坐标应标注对应量的名称和符号</w:t>
      </w:r>
      <w:r>
        <w:rPr>
          <w:rFonts w:eastAsia="仿宋_GB2312"/>
          <w:szCs w:val="28"/>
        </w:rPr>
        <w:t>/</w:t>
      </w:r>
      <w:r>
        <w:rPr>
          <w:rFonts w:hint="eastAsia" w:eastAsia="仿宋_GB2312"/>
          <w:szCs w:val="28"/>
        </w:rPr>
        <w:t>单位。</w:t>
      </w:r>
    </w:p>
    <w:p>
      <w:pPr>
        <w:spacing w:line="480" w:lineRule="exact"/>
        <w:ind w:firstLine="48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表格按序编号，并加表题（位于表上方）。采用三线表，必要时可加辅助线。</w:t>
      </w:r>
    </w:p>
    <w:p>
      <w:pPr>
        <w:spacing w:line="480" w:lineRule="exact"/>
        <w:ind w:firstLine="482" w:firstLineChars="200"/>
        <w:rPr>
          <w:rFonts w:eastAsia="仿宋_GB2312"/>
          <w:b/>
          <w:szCs w:val="28"/>
        </w:rPr>
      </w:pPr>
      <w:r>
        <w:rPr>
          <w:rFonts w:eastAsia="仿宋_GB2312"/>
          <w:b/>
          <w:szCs w:val="28"/>
        </w:rPr>
        <w:t>4</w:t>
      </w:r>
      <w:r>
        <w:rPr>
          <w:rFonts w:hint="eastAsia" w:eastAsia="仿宋_GB2312"/>
          <w:b/>
          <w:szCs w:val="28"/>
        </w:rPr>
        <w:t>．参考示例</w:t>
      </w:r>
    </w:p>
    <w:p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lang w:val="en-US" w:eastAsia="zh-CN"/>
        </w:rPr>
        <w:t>健脾养胃药膳粥制作</w:t>
      </w:r>
      <w:r>
        <w:rPr>
          <w:rFonts w:hint="eastAsia" w:eastAsia="黑体"/>
          <w:bCs/>
          <w:sz w:val="32"/>
        </w:rPr>
        <w:t>说明</w:t>
      </w:r>
      <w:r>
        <w:rPr>
          <w:rFonts w:hint="eastAsia" w:ascii="黑体" w:eastAsia="黑体"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  <w:lang w:val="en-US" w:eastAsia="zh-CN"/>
        </w:rPr>
        <w:t>制作</w:t>
      </w:r>
      <w:r>
        <w:rPr>
          <w:rFonts w:hint="eastAsia" w:ascii="宋体" w:hAnsi="宋体"/>
          <w:szCs w:val="24"/>
        </w:rPr>
        <w:t>者：×××，×××，×××，×××，×××</w:t>
      </w:r>
    </w:p>
    <w:p>
      <w:pPr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指导教师：×××，×××</w:t>
      </w:r>
    </w:p>
    <w:p>
      <w:pPr>
        <w:jc w:val="center"/>
        <w:rPr>
          <w:szCs w:val="24"/>
        </w:rPr>
      </w:pPr>
      <w:r>
        <w:rPr>
          <w:rFonts w:hint="eastAsia"/>
          <w:szCs w:val="24"/>
        </w:rPr>
        <w:t>（</w:t>
      </w:r>
      <w:r>
        <w:t>XX</w:t>
      </w:r>
      <w:r>
        <w:rPr>
          <w:rFonts w:hint="eastAsia"/>
          <w:szCs w:val="24"/>
        </w:rPr>
        <w:t>学院，</w:t>
      </w:r>
      <w:r>
        <w:rPr>
          <w:rFonts w:hint="eastAsia" w:ascii="宋体" w:hAnsi="宋体"/>
          <w:szCs w:val="24"/>
        </w:rPr>
        <w:t>×××，×××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）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（空一行）</w:t>
      </w:r>
    </w:p>
    <w:p>
      <w:pPr>
        <w:jc w:val="center"/>
        <w:rPr>
          <w:rFonts w:eastAsia="黑体"/>
          <w:bCs/>
          <w:szCs w:val="24"/>
        </w:rPr>
      </w:pPr>
    </w:p>
    <w:p>
      <w:pPr>
        <w:ind w:firstLine="480" w:firstLineChars="200"/>
        <w:rPr>
          <w:rFonts w:hint="eastAsia"/>
          <w:szCs w:val="24"/>
        </w:rPr>
      </w:pPr>
      <w:r>
        <w:rPr>
          <w:rFonts w:hint="eastAsia" w:ascii="宋体" w:hAnsi="宋体"/>
          <w:lang w:val="en-US" w:eastAsia="zh-CN"/>
        </w:rPr>
        <w:t>摘要：以粳米、薏苡仁、牛蒡、胡萝卜、香菇、鸡肉为原料制作药膳粥</w:t>
      </w:r>
      <w:r>
        <w:rPr>
          <w:rFonts w:hint="eastAsia" w:ascii="宋体" w:hAnsi="宋体"/>
          <w:szCs w:val="24"/>
        </w:rPr>
        <w:t>……（</w:t>
      </w:r>
      <w:r>
        <w:rPr>
          <w:rFonts w:hint="eastAsia"/>
          <w:szCs w:val="24"/>
          <w:lang w:val="en-US" w:eastAsia="zh-CN"/>
        </w:rPr>
        <w:t>200-300</w:t>
      </w:r>
      <w:r>
        <w:rPr>
          <w:rFonts w:hint="eastAsia"/>
          <w:szCs w:val="24"/>
        </w:rPr>
        <w:t>字以内）。</w:t>
      </w:r>
    </w:p>
    <w:p>
      <w:pPr>
        <w:ind w:firstLine="480" w:firstLineChars="200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关键词：</w:t>
      </w:r>
      <w:r>
        <w:rPr>
          <w:rFonts w:hint="eastAsia" w:ascii="宋体" w:hAnsi="宋体"/>
          <w:szCs w:val="24"/>
        </w:rPr>
        <w:t>（</w:t>
      </w:r>
      <w:r>
        <w:rPr>
          <w:rFonts w:hint="eastAsia"/>
          <w:szCs w:val="24"/>
          <w:lang w:val="en-US" w:eastAsia="zh-CN"/>
        </w:rPr>
        <w:t>3-5个</w:t>
      </w:r>
      <w:r>
        <w:rPr>
          <w:rFonts w:hint="eastAsia"/>
          <w:szCs w:val="24"/>
        </w:rPr>
        <w:t>）</w:t>
      </w:r>
    </w:p>
    <w:p>
      <w:pPr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（空一行）</w:t>
      </w:r>
    </w:p>
    <w:p>
      <w:pPr>
        <w:spacing w:before="156" w:beforeLines="50" w:after="156" w:afterLines="50"/>
        <w:rPr>
          <w:rFonts w:hint="default" w:eastAsia="黑体"/>
          <w:bCs/>
          <w:lang w:val="en-US" w:eastAsia="zh-CN"/>
        </w:rPr>
      </w:pPr>
      <w:r>
        <w:rPr>
          <w:rFonts w:hint="eastAsia" w:eastAsia="黑体"/>
          <w:bCs/>
          <w:lang w:val="en-US" w:eastAsia="zh-CN"/>
        </w:rPr>
        <w:t>1 背景及意义</w:t>
      </w:r>
    </w:p>
    <w:p>
      <w:pPr>
        <w:spacing w:before="156" w:beforeLines="50" w:after="156" w:afterLines="50"/>
        <w:rPr>
          <w:rFonts w:hint="eastAsia" w:ascii="黑体" w:eastAsia="黑体"/>
          <w:bCs/>
          <w:lang w:eastAsia="zh-CN"/>
        </w:rPr>
      </w:pPr>
      <w:r>
        <w:rPr>
          <w:rFonts w:eastAsia="黑体"/>
          <w:bCs/>
        </w:rPr>
        <w:t>2</w:t>
      </w:r>
      <w:r>
        <w:rPr>
          <w:rFonts w:hint="eastAsia" w:eastAsia="黑体"/>
          <w:bCs/>
        </w:rPr>
        <w:t>.</w:t>
      </w:r>
      <w:r>
        <w:rPr>
          <w:rFonts w:hint="eastAsia" w:ascii="黑体" w:eastAsia="黑体"/>
          <w:bCs/>
        </w:rPr>
        <w:t xml:space="preserve"> </w:t>
      </w:r>
      <w:r>
        <w:rPr>
          <w:rFonts w:hint="eastAsia" w:ascii="黑体" w:eastAsia="黑体"/>
          <w:bCs/>
          <w:lang w:val="en-US" w:eastAsia="zh-CN"/>
        </w:rPr>
        <w:t>制作过程</w:t>
      </w:r>
    </w:p>
    <w:p>
      <w:pPr>
        <w:widowControl/>
        <w:spacing w:after="156" w:afterLines="50"/>
        <w:jc w:val="left"/>
        <w:rPr>
          <w:rFonts w:hint="eastAsia" w:eastAsia="黑体"/>
          <w:szCs w:val="24"/>
          <w:lang w:val="en-US" w:eastAsia="zh-CN"/>
        </w:rPr>
      </w:pPr>
      <w:r>
        <w:rPr>
          <w:rFonts w:eastAsia="黑体"/>
          <w:szCs w:val="24"/>
        </w:rPr>
        <w:t xml:space="preserve">2.1 </w:t>
      </w:r>
      <w:r>
        <w:rPr>
          <w:rFonts w:hint="eastAsia" w:eastAsia="黑体"/>
          <w:szCs w:val="24"/>
          <w:lang w:val="en-US" w:eastAsia="zh-CN"/>
        </w:rPr>
        <w:t>制作材料与设备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2.1.1实验材料与试剂</w:t>
      </w:r>
    </w:p>
    <w:p>
      <w:pPr>
        <w:ind w:firstLine="48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粳米、干香菇、牛蒡、胡萝卜、鸡肉、葱、姜，购于同和菜市场; 薏苡仁，购自药店; 精盐、香油，购自广州好又多超市。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2.1.2 仪器与设备</w:t>
      </w:r>
    </w:p>
    <w:p>
      <w:pPr>
        <w:ind w:firstLine="480" w:firstLineChars="20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电磁炉及不锈钢锅: 美的 C21-SN215，广东省佛山市美的生活电器有限公司; 砂锅: 康舒 D-2210，江西省康舒陶瓷有限公司; 电饭煲: 格兰仕 A601T-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40YKD，中山市格兰仕生活电器制造有限公司; 分析天平: AL-204，梅特勒-托利多仪器有限公司; 刀具、 碗、汤勺等均为自备。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2.1.3 基本配方</w:t>
      </w:r>
    </w:p>
    <w:p>
      <w:pPr>
        <w:ind w:firstLine="480" w:firstLineChars="200"/>
        <w:rPr>
          <w:rFonts w:hint="eastAsia" w:ascii="宋体" w:hAnsi="宋体"/>
          <w:lang w:eastAsia="zh-CN"/>
        </w:rPr>
      </w:pPr>
      <w:r>
        <w:rPr>
          <w:rFonts w:hint="eastAsia" w:ascii="宋体" w:hAnsi="宋体"/>
        </w:rPr>
        <w:t>粳米120 g、薏苡仁40 g、干香菇15 g、牛蒡30 g、胡萝卜42 g、鸡肉60 g、精盐6g、香油3mL、料 酒2 mL、葱3g、姜片3g</w:t>
      </w:r>
      <w:r>
        <w:rPr>
          <w:rFonts w:hint="eastAsia" w:ascii="宋体" w:hAnsi="宋体"/>
          <w:lang w:eastAsia="zh-CN"/>
        </w:rPr>
        <w:t>。</w:t>
      </w:r>
    </w:p>
    <w:p>
      <w:pPr>
        <w:widowControl/>
        <w:spacing w:after="156" w:afterLines="50"/>
        <w:jc w:val="left"/>
        <w:rPr>
          <w:rFonts w:hint="eastAsia" w:eastAsia="黑体"/>
          <w:szCs w:val="24"/>
          <w:lang w:val="en-US" w:eastAsia="zh-CN"/>
        </w:rPr>
      </w:pPr>
      <w:r>
        <w:rPr>
          <w:rFonts w:hint="eastAsia" w:eastAsia="黑体"/>
          <w:szCs w:val="24"/>
          <w:lang w:val="en-US" w:eastAsia="zh-CN"/>
        </w:rPr>
        <w:t xml:space="preserve">2.2 制作方法 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>2.</w:t>
      </w:r>
      <w:r>
        <w:rPr>
          <w:rFonts w:hint="eastAsia" w:ascii="宋体" w:hAnsi="宋体"/>
          <w:lang w:val="en-US" w:eastAsia="zh-CN"/>
        </w:rPr>
        <w:t>2.1工艺流程</w:t>
      </w:r>
    </w:p>
    <w:p>
      <w:pPr>
        <w:ind w:firstLine="480" w:firstLineChars="200"/>
        <w:rPr>
          <w:rFonts w:hint="eastAsia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t xml:space="preserve">称取原料并洗净→浸泡原料→按规格切配原料→加水煮制谷类原料→按要求投放蔬菜肉类原料→放调味品→成品。 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2.2.2 原料预处理</w:t>
      </w:r>
    </w:p>
    <w:p>
      <w:pPr>
        <w:ind w:firstLine="480" w:firstLineChars="200"/>
        <w:rPr>
          <w:szCs w:val="24"/>
        </w:rPr>
      </w:pPr>
      <w:r>
        <w:rPr>
          <w:rFonts w:hint="eastAsia" w:ascii="宋体" w:hAnsi="宋体"/>
          <w:lang w:val="en-US" w:eastAsia="zh-CN"/>
        </w:rPr>
        <w:t>大米，用水淘洗3次后浸泡1h备用; 薏苡仁，用水淘洗干净，温水浸泡 3 h 备用; 干香菇，用水洗净，加入60～70℃的水500mL浸泡1h，取出后切成碎( 长宽各约0.3cm) 备用</w:t>
      </w:r>
      <w:r>
        <w:rPr>
          <w:rFonts w:hint="eastAsia"/>
          <w:szCs w:val="24"/>
        </w:rPr>
        <w:t>……</w:t>
      </w:r>
    </w:p>
    <w:p>
      <w:pPr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2.2.3 操作要点</w:t>
      </w:r>
    </w:p>
    <w:p>
      <w:pPr>
        <w:ind w:firstLine="48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（1）</w:t>
      </w:r>
      <w:r>
        <w:rPr>
          <w:rFonts w:hint="default" w:ascii="宋体" w:hAnsi="宋体"/>
          <w:lang w:val="en-US" w:eastAsia="zh-CN"/>
        </w:rPr>
        <w:t>称取原料并洗净。粳米应选用超市里质量 上好的，薏苡仁应选用药店里品质良好的，香菇、牛蒡、胡萝卜、鸡肉等应选用市场里新鲜的产品。把买来的食材分类进行清洗</w:t>
      </w:r>
      <w:r>
        <w:rPr>
          <w:rFonts w:hint="eastAsia" w:ascii="宋体" w:hAnsi="宋体"/>
          <w:lang w:val="en-US" w:eastAsia="zh-CN"/>
        </w:rPr>
        <w:t>，如图1所示，</w:t>
      </w:r>
      <w:r>
        <w:rPr>
          <w:rFonts w:hint="eastAsia"/>
          <w:szCs w:val="24"/>
        </w:rPr>
        <w:t>……</w:t>
      </w:r>
    </w:p>
    <w:p>
      <w:pPr>
        <w:ind w:firstLine="480" w:firstLineChars="200"/>
        <w:rPr>
          <w:rFonts w:hint="eastAsia"/>
          <w:szCs w:val="24"/>
        </w:rPr>
      </w:pPr>
      <w:r>
        <w:rPr>
          <w:rFonts w:hint="eastAsia"/>
          <w:szCs w:val="24"/>
        </w:rPr>
        <w:t>……</w:t>
      </w:r>
    </w:p>
    <w:p>
      <w:pPr>
        <w:numPr>
          <w:ilvl w:val="0"/>
          <w:numId w:val="2"/>
        </w:numPr>
        <w:spacing w:before="156" w:beforeLines="50" w:after="156" w:afterLines="50"/>
        <w:rPr>
          <w:rFonts w:hint="eastAsia" w:ascii="黑体" w:eastAsia="黑体"/>
          <w:bCs/>
          <w:lang w:val="en-US" w:eastAsia="zh-CN"/>
        </w:rPr>
      </w:pPr>
      <w:r>
        <w:rPr>
          <w:rFonts w:hint="eastAsia" w:ascii="黑体" w:eastAsia="黑体"/>
          <w:bCs/>
          <w:lang w:val="en-US" w:eastAsia="zh-CN"/>
        </w:rPr>
        <w:t>制作成果</w:t>
      </w:r>
    </w:p>
    <w:p>
      <w:pPr>
        <w:ind w:firstLine="480" w:firstLineChars="200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如图2所示，为健脾养胃药膳粥作品。该作品色香味俱全</w:t>
      </w:r>
      <w:r>
        <w:rPr>
          <w:rFonts w:hint="eastAsia"/>
          <w:szCs w:val="24"/>
        </w:rPr>
        <w:t>……</w:t>
      </w:r>
    </w:p>
    <w:p>
      <w:pPr>
        <w:spacing w:before="156" w:beforeLines="50" w:after="156" w:afterLines="50"/>
        <w:rPr>
          <w:rFonts w:hint="default" w:ascii="黑体" w:eastAsia="黑体"/>
          <w:bCs/>
          <w:lang w:val="en-US" w:eastAsia="zh-CN"/>
        </w:rPr>
      </w:pPr>
      <w:r>
        <w:rPr>
          <w:rFonts w:hint="eastAsia" w:ascii="黑体" w:eastAsia="黑体"/>
          <w:bCs/>
          <w:lang w:val="en-US" w:eastAsia="zh-CN"/>
        </w:rPr>
        <w:t>4.制作体会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（空一行）</w:t>
      </w:r>
    </w:p>
    <w:p>
      <w:pPr>
        <w:jc w:val="center"/>
        <w:rPr>
          <w:rFonts w:ascii="黑体" w:eastAsia="黑体"/>
          <w:bCs/>
        </w:rPr>
      </w:pPr>
      <w:r>
        <w:rPr>
          <w:rFonts w:hint="eastAsia" w:ascii="黑体" w:eastAsia="黑体"/>
          <w:bCs/>
          <w:szCs w:val="24"/>
        </w:rPr>
        <w:t>参考文献</w:t>
      </w:r>
    </w:p>
    <w:p>
      <w:pPr>
        <w:jc w:val="center"/>
        <w:rPr>
          <w:rFonts w:ascii="黑体" w:eastAsia="黑体"/>
          <w:bCs/>
          <w:szCs w:val="24"/>
        </w:rPr>
      </w:pPr>
    </w:p>
    <w:p>
      <w:pPr>
        <w:numPr>
          <w:ilvl w:val="0"/>
          <w:numId w:val="1"/>
        </w:num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XXX</w:t>
      </w:r>
      <w:r>
        <w:rPr>
          <w:rFonts w:hint="eastAsia"/>
          <w:szCs w:val="24"/>
        </w:rPr>
        <w:t xml:space="preserve">, </w:t>
      </w:r>
      <w:r>
        <w:rPr>
          <w:rFonts w:hint="eastAsia"/>
          <w:szCs w:val="24"/>
          <w:lang w:val="en-US" w:eastAsia="zh-CN"/>
        </w:rPr>
        <w:t>XXX</w:t>
      </w:r>
      <w:r>
        <w:rPr>
          <w:rFonts w:hint="eastAsia"/>
          <w:szCs w:val="24"/>
        </w:rPr>
        <w:t xml:space="preserve">, </w:t>
      </w:r>
      <w:r>
        <w:rPr>
          <w:rFonts w:hint="eastAsia"/>
          <w:szCs w:val="24"/>
          <w:lang w:val="en-US" w:eastAsia="zh-CN"/>
        </w:rPr>
        <w:t>XXX</w:t>
      </w:r>
      <w:r>
        <w:rPr>
          <w:rFonts w:hint="eastAsia"/>
          <w:szCs w:val="24"/>
        </w:rPr>
        <w:t>, 等. 《 中国药典》 治疗跌打损伤中药及中成药组方规律分析[J]. 中国民族民间医药, 2019 (2019 年 13): 5-12, 18.xxx．节能技术基础．xxxxxx出版社，1996：15-47</w:t>
      </w:r>
    </w:p>
    <w:p>
      <w:pPr>
        <w:numPr>
          <w:ilvl w:val="0"/>
          <w:numId w:val="1"/>
        </w:numPr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杨莹汕,</w:t>
      </w:r>
      <w:r>
        <w:rPr>
          <w:rFonts w:hint="eastAsia"/>
          <w:szCs w:val="24"/>
        </w:rPr>
        <w:t xml:space="preserve"> 健脾养胃药膳粥的配方及工艺优化[J]. 江苏调味副食品, 2019 (2): 14-19.</w:t>
      </w:r>
    </w:p>
    <w:p/>
    <w:p/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2475"/>
    <w:multiLevelType w:val="multilevel"/>
    <w:tmpl w:val="59DA2475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7E459C"/>
    <w:multiLevelType w:val="singleLevel"/>
    <w:tmpl w:val="617E459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5363D"/>
    <w:rsid w:val="11C5363D"/>
    <w:rsid w:val="1B4518E7"/>
    <w:rsid w:val="1BC859BA"/>
    <w:rsid w:val="23ED66DD"/>
    <w:rsid w:val="39DE1F36"/>
    <w:rsid w:val="44D90E59"/>
    <w:rsid w:val="494232EE"/>
    <w:rsid w:val="534C7F9B"/>
    <w:rsid w:val="5BCD093B"/>
    <w:rsid w:val="699C243B"/>
    <w:rsid w:val="754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8"/>
    <w:basedOn w:val="1"/>
    <w:next w:val="1"/>
    <w:qFormat/>
    <w:uiPriority w:val="0"/>
    <w:pPr>
      <w:ind w:left="210" w:leftChars="100" w:right="100" w:rightChars="100" w:firstLine="200" w:firstLineChars="200"/>
      <w:jc w:val="left"/>
    </w:pPr>
    <w:rPr>
      <w:rFonts w:ascii="Calibri" w:hAnsi="Calibri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2019-11-02T14:28:00Z</dcterms:created>
  <dc:creator>Majar</dc:creator>
  <cp:lastModifiedBy>Majar</cp:lastModifiedBy>
  <dcterms:modified xsi:type="dcterms:W3CDTF">2019-11-03T12:14:15Z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